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新疆喀什地区巴楚县下河国有林管理局2019年度部门决算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负责林区内一切工作，包括：公益林管护、森林抚育、防风治沙、森林防火等工作。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新疆喀什地区巴楚县下河国有林管理局2</w:t>
      </w:r>
      <w:r>
        <w:rPr>
          <w:rFonts w:ascii="仿宋_GB2312" w:eastAsia="仿宋_GB2312"/>
          <w:sz w:val="32"/>
          <w:szCs w:val="32"/>
        </w:rPr>
        <w:t>019</w:t>
      </w:r>
      <w:r>
        <w:rPr>
          <w:rFonts w:hint="eastAsia" w:ascii="仿宋_GB2312" w:eastAsia="仿宋_GB2312"/>
          <w:sz w:val="32"/>
          <w:szCs w:val="32"/>
        </w:rPr>
        <w:t>年度，实有人数15人，其中：在职人员15人，离休人员0人，退休人员0人。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从部门决算单位构成看，新疆喀什地区巴楚县下河国有林管理局部门决算包括：新疆喀什地区巴楚县下河国有林管理局决算。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2019年度本年收入1,332.11万元，与上年相比，增加222.94万元，增长20.1%，主要原因是：</w:t>
      </w:r>
      <w:r>
        <w:rPr>
          <w:rFonts w:hint="eastAsia" w:ascii="仿宋_GB2312" w:eastAsia="仿宋_GB2312"/>
          <w:color w:val="000000" w:themeColor="text1"/>
          <w:sz w:val="32"/>
          <w:szCs w:val="32"/>
          <w14:textFill>
            <w14:solidFill>
              <w14:schemeClr w14:val="tx1"/>
            </w14:solidFill>
          </w14:textFill>
        </w:rPr>
        <w:t>2019年安排两期电力引入项目。</w:t>
      </w:r>
      <w:r>
        <w:rPr>
          <w:rFonts w:hint="eastAsia" w:ascii="仿宋_GB2312" w:eastAsia="仿宋_GB2312"/>
          <w:sz w:val="32"/>
          <w:szCs w:val="32"/>
        </w:rPr>
        <w:t>本年支出1,815.46万元，与上年相比，增加1,189.65万元，增长190.1%，主要原因是：</w:t>
      </w:r>
      <w:r>
        <w:rPr>
          <w:rFonts w:hint="eastAsia" w:ascii="仿宋_GB2312" w:eastAsia="仿宋_GB2312"/>
          <w:color w:val="000000" w:themeColor="text1"/>
          <w:sz w:val="32"/>
          <w:szCs w:val="32"/>
          <w14:textFill>
            <w14:solidFill>
              <w14:schemeClr w14:val="tx1"/>
            </w14:solidFill>
          </w14:textFill>
        </w:rPr>
        <w:t>2019年安排两期电力引入项目。</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年度本年收入1,332.11万元，其中：财政拨款收入1,332.11万元，占100%；上级补助收入0万元，占0%；事业收入0万元，占0%；经营收入0万元，占0%；附属单位上缴收入0万元，占0%；其他收入0万元，占0%。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2019年度本年支出1,815.46万元，其中：基本支出187.18万元，占10.31%；项目支出1,628.29万元，占89.69%；上缴上级支出0万元，占0%；经营支出0万元，占0%；对附属单位补助支出0万元，占0%。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2019年度财政拨款收入1,332.11万元，与上年相比，增加222.94万元，增长20.1%，主要原因是：2019年安排两期电力引入项目。财政拨款支出1,815.46万元，与上年相比，增加1,189.65万元，增长190.1%，主要原因是：</w:t>
      </w:r>
      <w:r>
        <w:rPr>
          <w:rFonts w:ascii="仿宋_GB2312" w:eastAsia="仿宋_GB2312"/>
          <w:sz w:val="32"/>
          <w:szCs w:val="32"/>
        </w:rPr>
        <w:t>2019年安排两期电力引入项目。</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1,170.01</w:t>
      </w:r>
      <w:r>
        <w:rPr>
          <w:rFonts w:hint="eastAsia" w:ascii="仿宋_GB2312" w:eastAsia="仿宋_GB2312"/>
          <w:sz w:val="32"/>
          <w:szCs w:val="32"/>
        </w:rPr>
        <w:t>万元，决算数1,332.11万元</w:t>
      </w:r>
      <w:r>
        <w:rPr>
          <w:rFonts w:ascii="仿宋_GB2312" w:eastAsia="仿宋_GB2312"/>
          <w:color w:val="000000" w:themeColor="text1"/>
          <w:sz w:val="32"/>
          <w:szCs w:val="32"/>
          <w14:textFill>
            <w14:solidFill>
              <w14:schemeClr w14:val="tx1"/>
            </w14:solidFill>
          </w14:textFill>
        </w:rPr>
        <w:t>，预决算差异率13.85%，主要原因是：2019年安排两期电力引入项目。</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1,170.01</w:t>
      </w:r>
      <w:r>
        <w:rPr>
          <w:rFonts w:hint="eastAsia" w:ascii="仿宋_GB2312" w:eastAsia="仿宋_GB2312"/>
          <w:sz w:val="32"/>
          <w:szCs w:val="32"/>
        </w:rPr>
        <w:t>万元，决算数1,815.46万元</w:t>
      </w:r>
      <w:r>
        <w:rPr>
          <w:rFonts w:ascii="仿宋_GB2312" w:eastAsia="仿宋_GB2312"/>
          <w:color w:val="000000" w:themeColor="text1"/>
          <w:sz w:val="32"/>
          <w:szCs w:val="32"/>
          <w14:textFill>
            <w14:solidFill>
              <w14:schemeClr w14:val="tx1"/>
            </w14:solidFill>
          </w14:textFill>
        </w:rPr>
        <w:t>，预决算差异率55.17%，主要原因是：2019年安排两期电力引入项目。</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年度一般公共预算财政拨款支出1,815.11万元。按功能分类科目项级科目公开，其中：</w:t>
      </w:r>
    </w:p>
    <w:p>
      <w:pPr>
        <w:rPr>
          <w:rFonts w:ascii="仿宋_GB2312" w:eastAsia="仿宋_GB2312"/>
          <w:sz w:val="32"/>
          <w:szCs w:val="32"/>
        </w:rPr>
      </w:pPr>
      <w:r>
        <w:rPr>
          <w:rFonts w:ascii="仿宋_GB2312" w:eastAsia="仿宋_GB2312"/>
          <w:sz w:val="32"/>
          <w:szCs w:val="32"/>
        </w:rPr>
        <w:t xml:space="preserve">   2013101行政运行支出0.24万元；</w:t>
      </w:r>
      <w:r>
        <w:rPr>
          <w:rFonts w:ascii="仿宋_GB2312" w:eastAsia="仿宋_GB2312"/>
          <w:sz w:val="32"/>
          <w:szCs w:val="32"/>
        </w:rPr>
        <w:br w:type="textWrapping"/>
      </w:r>
      <w:r>
        <w:rPr>
          <w:rFonts w:ascii="仿宋_GB2312" w:eastAsia="仿宋_GB2312"/>
          <w:sz w:val="32"/>
          <w:szCs w:val="32"/>
        </w:rPr>
        <w:t xml:space="preserve">   2013299其他组织事务支出15.07万元；</w:t>
      </w:r>
      <w:r>
        <w:rPr>
          <w:rFonts w:ascii="仿宋_GB2312" w:eastAsia="仿宋_GB2312"/>
          <w:sz w:val="32"/>
          <w:szCs w:val="32"/>
        </w:rPr>
        <w:br w:type="textWrapping"/>
      </w:r>
      <w:r>
        <w:rPr>
          <w:rFonts w:ascii="仿宋_GB2312" w:eastAsia="仿宋_GB2312"/>
          <w:sz w:val="32"/>
          <w:szCs w:val="32"/>
        </w:rPr>
        <w:t xml:space="preserve">   2070199其他文化和旅游支出3万元；</w:t>
      </w:r>
      <w:r>
        <w:rPr>
          <w:rFonts w:ascii="仿宋_GB2312" w:eastAsia="仿宋_GB2312"/>
          <w:sz w:val="32"/>
          <w:szCs w:val="32"/>
        </w:rPr>
        <w:br w:type="textWrapping"/>
      </w:r>
      <w:r>
        <w:rPr>
          <w:rFonts w:ascii="仿宋_GB2312" w:eastAsia="仿宋_GB2312"/>
          <w:sz w:val="32"/>
          <w:szCs w:val="32"/>
        </w:rPr>
        <w:t xml:space="preserve">   2080299其他民政管理事务支出0.03万元；</w:t>
      </w:r>
      <w:r>
        <w:rPr>
          <w:rFonts w:ascii="仿宋_GB2312" w:eastAsia="仿宋_GB2312"/>
          <w:sz w:val="32"/>
          <w:szCs w:val="32"/>
        </w:rPr>
        <w:br w:type="textWrapping"/>
      </w:r>
      <w:r>
        <w:rPr>
          <w:rFonts w:ascii="仿宋_GB2312" w:eastAsia="仿宋_GB2312"/>
          <w:sz w:val="32"/>
          <w:szCs w:val="32"/>
        </w:rPr>
        <w:t xml:space="preserve">   2080505机关事业单位基本养老保险缴费支出15.06万元；</w:t>
      </w:r>
      <w:r>
        <w:rPr>
          <w:rFonts w:ascii="仿宋_GB2312" w:eastAsia="仿宋_GB2312"/>
          <w:sz w:val="32"/>
          <w:szCs w:val="32"/>
        </w:rPr>
        <w:br w:type="textWrapping"/>
      </w:r>
      <w:r>
        <w:rPr>
          <w:rFonts w:ascii="仿宋_GB2312" w:eastAsia="仿宋_GB2312"/>
          <w:sz w:val="32"/>
          <w:szCs w:val="32"/>
        </w:rPr>
        <w:t xml:space="preserve">   2080506机关事业单位职业年金缴费支出1.62万元；</w:t>
      </w:r>
      <w:r>
        <w:rPr>
          <w:rFonts w:ascii="仿宋_GB2312" w:eastAsia="仿宋_GB2312"/>
          <w:sz w:val="32"/>
          <w:szCs w:val="32"/>
        </w:rPr>
        <w:br w:type="textWrapping"/>
      </w:r>
      <w:r>
        <w:rPr>
          <w:rFonts w:ascii="仿宋_GB2312" w:eastAsia="仿宋_GB2312"/>
          <w:sz w:val="32"/>
          <w:szCs w:val="32"/>
        </w:rPr>
        <w:t xml:space="preserve">   2081107残疾人生活和护理补贴支出0.02万元；</w:t>
      </w:r>
      <w:r>
        <w:rPr>
          <w:rFonts w:ascii="仿宋_GB2312" w:eastAsia="仿宋_GB2312"/>
          <w:sz w:val="32"/>
          <w:szCs w:val="32"/>
        </w:rPr>
        <w:br w:type="textWrapping"/>
      </w:r>
      <w:r>
        <w:rPr>
          <w:rFonts w:ascii="仿宋_GB2312" w:eastAsia="仿宋_GB2312"/>
          <w:sz w:val="32"/>
          <w:szCs w:val="32"/>
        </w:rPr>
        <w:t xml:space="preserve">   2089901其他社会保障和就业支出6.66万元；</w:t>
      </w:r>
      <w:r>
        <w:rPr>
          <w:rFonts w:ascii="仿宋_GB2312" w:eastAsia="仿宋_GB2312"/>
          <w:sz w:val="32"/>
          <w:szCs w:val="32"/>
        </w:rPr>
        <w:br w:type="textWrapping"/>
      </w:r>
      <w:r>
        <w:rPr>
          <w:rFonts w:ascii="仿宋_GB2312" w:eastAsia="仿宋_GB2312"/>
          <w:sz w:val="32"/>
          <w:szCs w:val="32"/>
        </w:rPr>
        <w:t xml:space="preserve">   2100717计划生育服务支出0.90万元；</w:t>
      </w:r>
      <w:r>
        <w:rPr>
          <w:rFonts w:ascii="仿宋_GB2312" w:eastAsia="仿宋_GB2312"/>
          <w:sz w:val="32"/>
          <w:szCs w:val="32"/>
        </w:rPr>
        <w:br w:type="textWrapping"/>
      </w:r>
      <w:r>
        <w:rPr>
          <w:rFonts w:ascii="仿宋_GB2312" w:eastAsia="仿宋_GB2312"/>
          <w:sz w:val="32"/>
          <w:szCs w:val="32"/>
        </w:rPr>
        <w:t xml:space="preserve">   2101102事业单位医疗支出14.73万元；</w:t>
      </w:r>
      <w:r>
        <w:rPr>
          <w:rFonts w:ascii="仿宋_GB2312" w:eastAsia="仿宋_GB2312"/>
          <w:sz w:val="32"/>
          <w:szCs w:val="32"/>
        </w:rPr>
        <w:br w:type="textWrapping"/>
      </w:r>
      <w:r>
        <w:rPr>
          <w:rFonts w:ascii="仿宋_GB2312" w:eastAsia="仿宋_GB2312"/>
          <w:sz w:val="32"/>
          <w:szCs w:val="32"/>
        </w:rPr>
        <w:t xml:space="preserve">   2130135农业资源保护修复与利用支出13万元；</w:t>
      </w:r>
      <w:r>
        <w:rPr>
          <w:rFonts w:ascii="仿宋_GB2312" w:eastAsia="仿宋_GB2312"/>
          <w:sz w:val="32"/>
          <w:szCs w:val="32"/>
        </w:rPr>
        <w:br w:type="textWrapping"/>
      </w:r>
      <w:r>
        <w:rPr>
          <w:rFonts w:ascii="仿宋_GB2312" w:eastAsia="仿宋_GB2312"/>
          <w:sz w:val="32"/>
          <w:szCs w:val="32"/>
        </w:rPr>
        <w:t xml:space="preserve">   2130204事业机构支出144.55万元；</w:t>
      </w:r>
      <w:r>
        <w:rPr>
          <w:rFonts w:ascii="仿宋_GB2312" w:eastAsia="仿宋_GB2312"/>
          <w:sz w:val="32"/>
          <w:szCs w:val="32"/>
        </w:rPr>
        <w:br w:type="textWrapping"/>
      </w:r>
      <w:r>
        <w:rPr>
          <w:rFonts w:ascii="仿宋_GB2312" w:eastAsia="仿宋_GB2312"/>
          <w:sz w:val="32"/>
          <w:szCs w:val="32"/>
        </w:rPr>
        <w:t xml:space="preserve">   2130209森林生态效益补偿支出1,355.32万元；</w:t>
      </w:r>
      <w:r>
        <w:rPr>
          <w:rFonts w:ascii="仿宋_GB2312" w:eastAsia="仿宋_GB2312"/>
          <w:sz w:val="32"/>
          <w:szCs w:val="32"/>
        </w:rPr>
        <w:br w:type="textWrapping"/>
      </w:r>
      <w:r>
        <w:rPr>
          <w:rFonts w:ascii="仿宋_GB2312" w:eastAsia="仿宋_GB2312"/>
          <w:sz w:val="32"/>
          <w:szCs w:val="32"/>
        </w:rPr>
        <w:t xml:space="preserve">   2130504农村基础设施建设支出136.77万元；</w:t>
      </w:r>
      <w:r>
        <w:rPr>
          <w:rFonts w:ascii="仿宋_GB2312" w:eastAsia="仿宋_GB2312"/>
          <w:sz w:val="32"/>
          <w:szCs w:val="32"/>
        </w:rPr>
        <w:br w:type="textWrapping"/>
      </w:r>
      <w:r>
        <w:rPr>
          <w:rFonts w:ascii="仿宋_GB2312" w:eastAsia="仿宋_GB2312"/>
          <w:sz w:val="32"/>
          <w:szCs w:val="32"/>
        </w:rPr>
        <w:t xml:space="preserve">   2130505生产发展支出97.16万元；</w:t>
      </w:r>
      <w:r>
        <w:rPr>
          <w:rFonts w:ascii="仿宋_GB2312" w:eastAsia="仿宋_GB2312"/>
          <w:sz w:val="32"/>
          <w:szCs w:val="32"/>
        </w:rPr>
        <w:br w:type="textWrapping"/>
      </w:r>
      <w:r>
        <w:rPr>
          <w:rFonts w:ascii="仿宋_GB2312" w:eastAsia="仿宋_GB2312"/>
          <w:sz w:val="32"/>
          <w:szCs w:val="32"/>
        </w:rPr>
        <w:t xml:space="preserve">   2210201住房公积金支出10.9</w:t>
      </w:r>
      <w:r>
        <w:rPr>
          <w:rFonts w:hint="eastAsia" w:ascii="仿宋_GB2312" w:eastAsia="仿宋_GB2312"/>
          <w:sz w:val="32"/>
          <w:szCs w:val="32"/>
          <w:lang w:val="en-US" w:eastAsia="zh-CN"/>
        </w:rPr>
        <w:t>8</w:t>
      </w:r>
      <w:r>
        <w:rPr>
          <w:rFonts w:ascii="仿宋_GB2312" w:eastAsia="仿宋_GB2312"/>
          <w:sz w:val="32"/>
          <w:szCs w:val="32"/>
        </w:rPr>
        <w:t>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年度一般公共预算财政拨款基本支出187.18万元，其中：</w:t>
      </w:r>
    </w:p>
    <w:p>
      <w:pPr>
        <w:ind w:firstLine="640" w:firstLineChars="200"/>
        <w:rPr>
          <w:rFonts w:ascii="仿宋_GB2312" w:eastAsia="仿宋_GB2312"/>
          <w:sz w:val="32"/>
          <w:szCs w:val="32"/>
        </w:rPr>
      </w:pPr>
      <w:r>
        <w:rPr>
          <w:rFonts w:hint="eastAsia" w:ascii="仿宋_GB2312" w:eastAsia="仿宋_GB2312"/>
          <w:sz w:val="32"/>
          <w:szCs w:val="32"/>
        </w:rPr>
        <w:t>人员经费176.59万元，包括：基本工资、津贴补贴、奖金、绩效工资、机关事业单位基本养老保险缴费、职业年金缴费、职工基本医疗保险缴费、其他社会保障缴费、住房公积金、</w:t>
      </w:r>
      <w:r>
        <w:rPr>
          <w:rFonts w:hint="eastAsia" w:ascii="仿宋_GB2312" w:eastAsia="仿宋_GB2312"/>
          <w:color w:val="auto"/>
          <w:sz w:val="32"/>
          <w:szCs w:val="32"/>
          <w:lang w:eastAsia="zh-CN"/>
        </w:rPr>
        <w:t>对个人和家庭的补助、</w:t>
      </w:r>
      <w:r>
        <w:rPr>
          <w:rFonts w:hint="eastAsia" w:ascii="仿宋_GB2312" w:eastAsia="仿宋_GB2312"/>
          <w:sz w:val="32"/>
          <w:szCs w:val="32"/>
        </w:rPr>
        <w:t>退休费、抚恤金、生活补助。</w:t>
      </w:r>
    </w:p>
    <w:p>
      <w:pPr>
        <w:ind w:firstLine="640" w:firstLineChars="200"/>
        <w:rPr>
          <w:rFonts w:ascii="仿宋_GB2312" w:eastAsia="仿宋_GB2312"/>
          <w:sz w:val="32"/>
          <w:szCs w:val="32"/>
        </w:rPr>
      </w:pPr>
      <w:r>
        <w:rPr>
          <w:rFonts w:hint="eastAsia" w:ascii="仿宋_GB2312" w:eastAsia="仿宋_GB2312"/>
          <w:sz w:val="32"/>
          <w:szCs w:val="32"/>
        </w:rPr>
        <w:t>公用经费10.59万元，包括：办公费、取暖费、差旅费、公务用车运行维护费。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3万元，比上年增加0万元，增长0%，主要原因是严格压缩经费。其中，因公出国（境）费支出0万元，占0%，比上年增加0万元，增长0%，主要原因是无此项内容；公务用车购置及运行维护费支出3万元，占100%，比上年增加0万元，增长0%，主要原因是严格</w:t>
      </w:r>
      <w:r>
        <w:rPr>
          <w:rFonts w:hint="eastAsia" w:ascii="仿宋_GB2312" w:eastAsia="仿宋_GB2312"/>
          <w:sz w:val="32"/>
          <w:szCs w:val="32"/>
          <w:lang w:eastAsia="zh-CN"/>
        </w:rPr>
        <w:t>按照年初预算执行</w:t>
      </w:r>
      <w:r>
        <w:rPr>
          <w:rFonts w:hint="eastAsia" w:ascii="仿宋_GB2312" w:eastAsia="仿宋_GB2312"/>
          <w:sz w:val="32"/>
          <w:szCs w:val="32"/>
        </w:rPr>
        <w:t>；公务接待费支出0万元，占0%，比上年增加0万元，增长0%，主要原因是无此项内容。具体情况如下：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无此项内容。</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公务用车购置及运行维护费3万元，其中，公务用车购置费0万元，公务用车运行维护费3万元。公务用车运行维护费开支内容包括燃油费、车辆维护费。公务用车购置数0辆，公务用车保有量1辆。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公务接待费0万元，开支内容包括无此项内容。单位全年安排的国内公务接待0批次，0人次。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w:t>
      </w:r>
      <w:r>
        <w:rPr>
          <w:rFonts w:hint="eastAsia" w:ascii="仿宋_GB2312" w:eastAsia="仿宋_GB2312"/>
          <w:sz w:val="32"/>
          <w:szCs w:val="32"/>
        </w:rPr>
        <w:t>严格</w:t>
      </w:r>
      <w:r>
        <w:rPr>
          <w:rFonts w:hint="eastAsia" w:ascii="仿宋_GB2312" w:eastAsia="仿宋_GB2312"/>
          <w:sz w:val="32"/>
          <w:szCs w:val="32"/>
          <w:lang w:eastAsia="zh-CN"/>
        </w:rPr>
        <w:t>按照年初预算执行</w:t>
      </w:r>
      <w:bookmarkStart w:id="54" w:name="_GoBack"/>
      <w:bookmarkEnd w:id="54"/>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w:t>
      </w:r>
      <w:r>
        <w:rPr>
          <w:rFonts w:hint="eastAsia" w:ascii="仿宋_GB2312" w:eastAsia="仿宋_GB2312"/>
          <w:sz w:val="32"/>
          <w:szCs w:val="32"/>
        </w:rPr>
        <w:t>严格</w:t>
      </w:r>
      <w:r>
        <w:rPr>
          <w:rFonts w:hint="eastAsia" w:ascii="仿宋_GB2312" w:eastAsia="仿宋_GB2312"/>
          <w:sz w:val="32"/>
          <w:szCs w:val="32"/>
          <w:lang w:eastAsia="zh-CN"/>
        </w:rPr>
        <w:t>按照年初预算执行</w:t>
      </w:r>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2019年度政府性基金预算财政拨款收入0.36万元，与上年相比，增加0.36万元，增长100%，主要原因是：2019年县民政局拨付我局的残疾人补助从政府基金中拨付，政府性基金增加。政府性基金预算支出0.36万元，与上年相比，增加0.36万元，增长100%，主要原因是：2019年县民政局拨付我局的残疾人补助从政府基金中拨付，政府性基金增加。</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lang w:val="en-US" w:eastAsia="zh-CN"/>
          <w14:textFill>
            <w14:solidFill>
              <w14:schemeClr w14:val="tx1"/>
            </w14:solidFill>
          </w14:textFill>
        </w:rPr>
        <w:t>2019年度</w:t>
      </w:r>
      <w:r>
        <w:rPr>
          <w:rFonts w:hint="eastAsia" w:ascii="仿宋_GB2312" w:eastAsia="仿宋_GB2312"/>
          <w:color w:val="000000" w:themeColor="text1"/>
          <w:sz w:val="32"/>
          <w:szCs w:val="32"/>
          <w14:textFill>
            <w14:solidFill>
              <w14:schemeClr w14:val="tx1"/>
            </w14:solidFill>
          </w14:textFill>
        </w:rPr>
        <w:t>新疆喀什地区巴楚县下河国有林管理局日常公用经费10.59万元，比上年减少1.41万元，降低11.75%，主要原因是日常公用经费商品和服务支出降低。</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年度政府采购支出总额97.45万元，其中：政府采购货物支出68.51万元、政府采购工程支出2.91万元、政府采购服务支出26.03万元。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授予中小企业合同金额97.45万元，占政府采购支出总额的100%，其中：授予小微企业合同金额97.43万元，占政府采购支出总额的99.98%。</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年12月31日，单位共有房屋2,166.40（平方米），价值197.76万元。车辆1辆，价值21.98万元，其中：副部（省）级及以上领导用车0辆、主要领导干部用车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辆、执法执勤用车0辆、特种专业技术用车0辆、离退休干部用车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辆、其他用车</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sz w:val="32"/>
          <w:szCs w:val="32"/>
        </w:rPr>
        <w:t>辆，其他用车主要是：</w:t>
      </w:r>
      <w:r>
        <w:rPr>
          <w:rFonts w:ascii="仿宋_GB2312" w:eastAsia="仿宋_GB2312"/>
          <w:color w:val="000000" w:themeColor="text1"/>
          <w:sz w:val="32"/>
          <w:szCs w:val="32"/>
          <w14:textFill>
            <w14:solidFill>
              <w14:schemeClr w14:val="tx1"/>
            </w14:solidFill>
          </w14:textFill>
        </w:rPr>
        <w:t>日常公务用车；</w:t>
      </w:r>
      <w:r>
        <w:rPr>
          <w:rFonts w:hint="eastAsia" w:ascii="仿宋_GB2312" w:eastAsia="仿宋_GB2312"/>
          <w:sz w:val="32"/>
          <w:szCs w:val="32"/>
        </w:rPr>
        <w:t>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w:t>
      </w:r>
      <w:r>
        <w:rPr>
          <w:rFonts w:hint="eastAsia" w:ascii="仿宋_GB2312" w:eastAsia="仿宋_GB2312"/>
          <w:sz w:val="32"/>
          <w:szCs w:val="32"/>
          <w:lang w:val="en-US" w:eastAsia="zh-CN"/>
        </w:rPr>
        <w:t>1</w:t>
      </w:r>
      <w:r>
        <w:rPr>
          <w:rFonts w:hint="eastAsia" w:ascii="仿宋_GB2312" w:eastAsia="仿宋_GB2312"/>
          <w:sz w:val="32"/>
          <w:szCs w:val="32"/>
        </w:rPr>
        <w:t>个，共涉及资金</w:t>
      </w:r>
      <w:r>
        <w:rPr>
          <w:rFonts w:hint="eastAsia" w:ascii="仿宋_GB2312" w:eastAsia="仿宋_GB2312"/>
          <w:sz w:val="32"/>
          <w:szCs w:val="32"/>
          <w:lang w:val="en-US" w:eastAsia="zh-CN"/>
        </w:rPr>
        <w:t>233.93</w:t>
      </w:r>
      <w:r>
        <w:rPr>
          <w:rFonts w:hint="eastAsia" w:ascii="仿宋_GB2312" w:eastAsia="仿宋_GB2312"/>
          <w:sz w:val="32"/>
          <w:szCs w:val="32"/>
        </w:rPr>
        <w:t>万元。预算绩效管理取得的成效：</w:t>
      </w:r>
      <w:r>
        <w:rPr>
          <w:rFonts w:hint="eastAsia" w:ascii="仿宋_GB2312" w:eastAsia="仿宋_GB2312"/>
          <w:sz w:val="32"/>
          <w:szCs w:val="32"/>
          <w:highlight w:val="none"/>
        </w:rPr>
        <w:t>一是产出指标评价：</w:t>
      </w:r>
      <w:r>
        <w:rPr>
          <w:rFonts w:hint="eastAsia" w:ascii="仿宋_GB2312" w:eastAsia="仿宋_GB2312"/>
          <w:sz w:val="32"/>
          <w:szCs w:val="32"/>
          <w:highlight w:val="none"/>
          <w:lang w:val="en-US" w:eastAsia="zh-CN"/>
        </w:rPr>
        <w:t>为下河国有林管理局7个管护站引入10kv电力，架设导线17.5km,安装变压器7台，电力引入管护站工程单价33.42万元/个。</w:t>
      </w:r>
      <w:r>
        <w:rPr>
          <w:rFonts w:hint="eastAsia" w:ascii="仿宋_GB2312" w:eastAsia="仿宋_GB2312"/>
          <w:sz w:val="32"/>
          <w:szCs w:val="32"/>
          <w:highlight w:val="none"/>
        </w:rPr>
        <w:t>通过规范的招投标及严格的资金管理及项目管理措施实现了资金的节约。二是效益指标评价：各项工作计划按预期计划按时完成，效益按预期时间产生。三是满意度指标评价：根据调查问卷，满意度指标完成</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。发现的问题及原因：经审计导线架设少了3千米。下一步改进措施：一是加强绩效管理工作的人员业务培训；</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是建立健全规章制度，对绩效管理工作细化、量化，增加可操作性</w:t>
      </w:r>
      <w:r>
        <w:rPr>
          <w:rFonts w:hint="eastAsia" w:ascii="仿宋_GB2312" w:eastAsia="仿宋_GB2312"/>
          <w:sz w:val="32"/>
          <w:szCs w:val="32"/>
          <w:highlight w:val="none"/>
          <w:lang w:eastAsia="zh-CN"/>
        </w:rPr>
        <w:t>；三</w:t>
      </w:r>
      <w:r>
        <w:rPr>
          <w:rFonts w:hint="eastAsia" w:ascii="仿宋_GB2312" w:eastAsia="仿宋_GB2312"/>
          <w:sz w:val="32"/>
          <w:szCs w:val="32"/>
          <w:highlight w:val="none"/>
        </w:rPr>
        <w:t>是制定科学合理的绩效考核机制，进一步细化绩效考核流程，并严格执行绩效考核制度，切忌</w:t>
      </w:r>
      <w:r>
        <w:rPr>
          <w:rFonts w:hint="eastAsia" w:ascii="仿宋_GB2312" w:eastAsia="仿宋_GB2312"/>
          <w:sz w:val="32"/>
          <w:szCs w:val="32"/>
          <w:highlight w:val="none"/>
          <w:lang w:eastAsia="zh-CN"/>
        </w:rPr>
        <w:t>流</w:t>
      </w:r>
      <w:r>
        <w:rPr>
          <w:rFonts w:hint="eastAsia" w:ascii="仿宋_GB2312" w:eastAsia="仿宋_GB2312"/>
          <w:sz w:val="32"/>
          <w:szCs w:val="32"/>
          <w:highlight w:val="none"/>
        </w:rPr>
        <w:t>于形式。具体项目自</w:t>
      </w:r>
      <w:r>
        <w:rPr>
          <w:rFonts w:hint="eastAsia" w:ascii="仿宋_GB2312" w:eastAsia="仿宋_GB2312"/>
          <w:sz w:val="32"/>
          <w:szCs w:val="32"/>
        </w:rPr>
        <w:t>评情况附项目支出绩效自评表。</w:t>
      </w:r>
    </w:p>
    <w:p>
      <w:pPr>
        <w:ind w:firstLine="640" w:firstLineChars="200"/>
        <w:jc w:val="both"/>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4"/>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187225A"/>
    <w:rsid w:val="040C6D45"/>
    <w:rsid w:val="06792773"/>
    <w:rsid w:val="16012980"/>
    <w:rsid w:val="1A5E6DE8"/>
    <w:rsid w:val="1C38219C"/>
    <w:rsid w:val="1DAF458D"/>
    <w:rsid w:val="1E1709C8"/>
    <w:rsid w:val="23B72229"/>
    <w:rsid w:val="26EB5875"/>
    <w:rsid w:val="272F1519"/>
    <w:rsid w:val="2A053397"/>
    <w:rsid w:val="2C280E05"/>
    <w:rsid w:val="2D1136DF"/>
    <w:rsid w:val="2D725D9F"/>
    <w:rsid w:val="307018FE"/>
    <w:rsid w:val="31C63837"/>
    <w:rsid w:val="32FC7B1A"/>
    <w:rsid w:val="33974E75"/>
    <w:rsid w:val="370904AA"/>
    <w:rsid w:val="3D5275AC"/>
    <w:rsid w:val="461C253E"/>
    <w:rsid w:val="46901EEE"/>
    <w:rsid w:val="469C74D2"/>
    <w:rsid w:val="50DB5F45"/>
    <w:rsid w:val="520110EA"/>
    <w:rsid w:val="5B370213"/>
    <w:rsid w:val="5F3B79C6"/>
    <w:rsid w:val="630A78DB"/>
    <w:rsid w:val="67DC5196"/>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0</TotalTime>
  <ScaleCrop>false</ScaleCrop>
  <LinksUpToDate>false</LinksUpToDate>
  <CharactersWithSpaces>6915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Lenovo</cp:lastModifiedBy>
  <dcterms:modified xsi:type="dcterms:W3CDTF">2021-06-18T05:39:08Z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